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37117" w14:textId="4FE294DD" w:rsidR="00550E03" w:rsidRPr="00AC0D71" w:rsidRDefault="003301DD" w:rsidP="00AC0D71">
      <w:pPr>
        <w:spacing w:line="276" w:lineRule="auto"/>
        <w:rPr>
          <w:rFonts w:ascii="Verdana" w:eastAsia="Verdana" w:hAnsi="Verdana" w:cs="Verdana"/>
          <w:sz w:val="24"/>
          <w:szCs w:val="24"/>
        </w:rPr>
      </w:pPr>
      <w:r w:rsidRPr="00AC0D71">
        <w:rPr>
          <w:rFonts w:ascii="Verdana" w:hAnsi="Verdana"/>
          <w:b/>
          <w:bCs/>
          <w:sz w:val="24"/>
          <w:szCs w:val="24"/>
        </w:rPr>
        <w:t>SEN</w:t>
      </w:r>
      <w:r w:rsidR="004D2ACB" w:rsidRPr="00AC0D71">
        <w:rPr>
          <w:rFonts w:ascii="Verdana" w:hAnsi="Verdana"/>
          <w:b/>
          <w:bCs/>
          <w:spacing w:val="-18"/>
          <w:sz w:val="24"/>
          <w:szCs w:val="24"/>
        </w:rPr>
        <w:t xml:space="preserve">D </w:t>
      </w:r>
      <w:r w:rsidRPr="00AC0D71">
        <w:rPr>
          <w:rFonts w:ascii="Verdana" w:hAnsi="Verdana"/>
          <w:b/>
          <w:bCs/>
          <w:sz w:val="24"/>
          <w:szCs w:val="24"/>
        </w:rPr>
        <w:t>REPORT</w:t>
      </w:r>
      <w:r w:rsidRPr="00AC0D71">
        <w:rPr>
          <w:rFonts w:ascii="Verdana" w:hAnsi="Verdana"/>
          <w:b/>
          <w:bCs/>
          <w:spacing w:val="-18"/>
          <w:sz w:val="24"/>
          <w:szCs w:val="24"/>
        </w:rPr>
        <w:t xml:space="preserve"> </w:t>
      </w:r>
      <w:r w:rsidRPr="00AC0D71">
        <w:rPr>
          <w:rFonts w:ascii="Verdana" w:hAnsi="Verdana"/>
          <w:b/>
          <w:bCs/>
          <w:spacing w:val="1"/>
          <w:sz w:val="24"/>
          <w:szCs w:val="24"/>
        </w:rPr>
        <w:t>20</w:t>
      </w:r>
      <w:r w:rsidR="00F87C97" w:rsidRPr="00AC0D71">
        <w:rPr>
          <w:rFonts w:ascii="Verdana" w:hAnsi="Verdana"/>
          <w:b/>
          <w:bCs/>
          <w:spacing w:val="1"/>
          <w:sz w:val="24"/>
          <w:szCs w:val="24"/>
        </w:rPr>
        <w:t>21</w:t>
      </w:r>
    </w:p>
    <w:p w14:paraId="17A65B38" w14:textId="77777777" w:rsidR="00550E03" w:rsidRPr="00AC0D71" w:rsidRDefault="00550E03" w:rsidP="00AC0D71">
      <w:pPr>
        <w:spacing w:line="276" w:lineRule="auto"/>
        <w:rPr>
          <w:rFonts w:ascii="Verdana" w:eastAsia="Verdana" w:hAnsi="Verdana" w:cs="Verdana"/>
          <w:b/>
          <w:bCs/>
          <w:sz w:val="21"/>
          <w:szCs w:val="21"/>
        </w:rPr>
      </w:pPr>
    </w:p>
    <w:p w14:paraId="64064158" w14:textId="77777777" w:rsidR="00550E03" w:rsidRPr="00AC0D71" w:rsidRDefault="003301DD" w:rsidP="00AC0D71">
      <w:pPr>
        <w:pStyle w:val="Heading1"/>
        <w:spacing w:line="276" w:lineRule="auto"/>
        <w:ind w:left="0"/>
      </w:pPr>
      <w:r w:rsidRPr="00AC0D71">
        <w:t>Introduction</w:t>
      </w:r>
    </w:p>
    <w:p w14:paraId="5F05AA2E" w14:textId="77777777" w:rsidR="00550E03" w:rsidRPr="00AC0D71" w:rsidRDefault="003301DD" w:rsidP="00AC0D71">
      <w:pPr>
        <w:pStyle w:val="BodyText"/>
        <w:spacing w:line="276" w:lineRule="auto"/>
        <w:ind w:left="0"/>
      </w:pPr>
      <w:r w:rsidRPr="00AC0D71">
        <w:t xml:space="preserve">The SEN information report details the provision that the Boxing Academy offers to students with special education and disability needs. The Boxing Academy is inclusive in all its practices, actively promotes equality and takes all steps to challenge and counter discrimination or harassment. We use our best </w:t>
      </w:r>
      <w:proofErr w:type="spellStart"/>
      <w:r w:rsidRPr="00AC0D71">
        <w:t>endeavours</w:t>
      </w:r>
      <w:proofErr w:type="spellEnd"/>
      <w:r w:rsidRPr="00AC0D71">
        <w:t xml:space="preserve"> to make reasonable adjustments to accommodate students with additional needs whenever possible. </w:t>
      </w:r>
    </w:p>
    <w:p w14:paraId="775E7F0C" w14:textId="77777777" w:rsidR="00550E03" w:rsidRPr="00AC0D71" w:rsidRDefault="00550E03" w:rsidP="00AC0D71">
      <w:pPr>
        <w:pStyle w:val="BodyText"/>
        <w:spacing w:line="276" w:lineRule="auto"/>
        <w:ind w:left="0"/>
      </w:pPr>
    </w:p>
    <w:p w14:paraId="7F3CF57A" w14:textId="77777777" w:rsidR="00550E03" w:rsidRPr="00AC0D71" w:rsidRDefault="003301DD" w:rsidP="00AC0D71">
      <w:pPr>
        <w:pStyle w:val="BodyText"/>
        <w:spacing w:line="276" w:lineRule="auto"/>
        <w:ind w:left="0"/>
      </w:pPr>
      <w:r w:rsidRPr="00AC0D71">
        <w:t>The Boxing Academy complies with:</w:t>
      </w:r>
    </w:p>
    <w:p w14:paraId="60A24EEA" w14:textId="77777777" w:rsidR="00550E03" w:rsidRPr="00AC0D71" w:rsidRDefault="003301DD" w:rsidP="00AC0D71">
      <w:pPr>
        <w:pStyle w:val="BodyText"/>
        <w:numPr>
          <w:ilvl w:val="0"/>
          <w:numId w:val="2"/>
        </w:numPr>
        <w:spacing w:line="276" w:lineRule="auto"/>
      </w:pPr>
      <w:r w:rsidRPr="00AC0D71">
        <w:t>Section 69(2) of the Children and Families Act 2014</w:t>
      </w:r>
    </w:p>
    <w:p w14:paraId="4DBA621D" w14:textId="77777777" w:rsidR="00550E03" w:rsidRPr="00AC0D71" w:rsidRDefault="003301DD" w:rsidP="00AC0D71">
      <w:pPr>
        <w:pStyle w:val="BodyText"/>
        <w:numPr>
          <w:ilvl w:val="0"/>
          <w:numId w:val="2"/>
        </w:numPr>
        <w:spacing w:line="276" w:lineRule="auto"/>
      </w:pPr>
      <w:r w:rsidRPr="00AC0D71">
        <w:t>Regulation 51 and Schedule 1 of the Special Educational Needs and Disability Regulations 2014</w:t>
      </w:r>
    </w:p>
    <w:p w14:paraId="0252DD16" w14:textId="77777777" w:rsidR="00550E03" w:rsidRPr="00AC0D71" w:rsidRDefault="003301DD" w:rsidP="00AC0D71">
      <w:pPr>
        <w:pStyle w:val="BodyText"/>
        <w:numPr>
          <w:ilvl w:val="0"/>
          <w:numId w:val="2"/>
        </w:numPr>
        <w:spacing w:line="276" w:lineRule="auto"/>
      </w:pPr>
      <w:r w:rsidRPr="00AC0D71">
        <w:t>Paragraph 3 of schedule 10 of the Equality Act 2010</w:t>
      </w:r>
    </w:p>
    <w:p w14:paraId="3FF853B5" w14:textId="77777777" w:rsidR="00550E03" w:rsidRPr="00AC0D71" w:rsidRDefault="00550E03" w:rsidP="00AC0D71">
      <w:pPr>
        <w:spacing w:line="276" w:lineRule="auto"/>
        <w:ind w:left="232" w:hanging="232"/>
        <w:rPr>
          <w:rFonts w:ascii="Verdana" w:eastAsia="Verdana" w:hAnsi="Verdana" w:cs="Verdana"/>
          <w:sz w:val="21"/>
          <w:szCs w:val="21"/>
        </w:rPr>
      </w:pPr>
    </w:p>
    <w:p w14:paraId="34B021DF" w14:textId="77777777" w:rsidR="00550E03" w:rsidRPr="00AC0D71" w:rsidRDefault="003301DD" w:rsidP="00AC0D71">
      <w:pPr>
        <w:pStyle w:val="BodyText"/>
        <w:spacing w:line="276" w:lineRule="auto"/>
        <w:ind w:left="0"/>
        <w:jc w:val="both"/>
      </w:pPr>
      <w:r w:rsidRPr="00AC0D71">
        <w:t>Throughout this document, disabled person means a person who is a disabled person as defined by the Equality Act 2010; disabled student includes a disabled person who may be admitted to a school as a student.</w:t>
      </w:r>
    </w:p>
    <w:p w14:paraId="64102DB1" w14:textId="77777777" w:rsidR="00550E03" w:rsidRPr="00AC0D71" w:rsidRDefault="00550E03" w:rsidP="00AC0D71">
      <w:pPr>
        <w:spacing w:line="276" w:lineRule="auto"/>
        <w:rPr>
          <w:rFonts w:ascii="Verdana" w:eastAsia="Verdana" w:hAnsi="Verdana" w:cs="Verdana"/>
          <w:sz w:val="21"/>
          <w:szCs w:val="21"/>
        </w:rPr>
      </w:pPr>
    </w:p>
    <w:p w14:paraId="5BB5DCA8" w14:textId="77777777" w:rsidR="00550E03" w:rsidRPr="00AC0D71" w:rsidRDefault="003301DD" w:rsidP="00AC0D71">
      <w:pPr>
        <w:pStyle w:val="BodyText"/>
        <w:spacing w:line="276" w:lineRule="auto"/>
        <w:ind w:left="0"/>
        <w:jc w:val="both"/>
      </w:pPr>
      <w:r w:rsidRPr="00AC0D71">
        <w:t>To find out more about the new SEND code of practice, please refer to the SEND code of practice: 0 to 25 years on the Department for Education website:</w:t>
      </w:r>
    </w:p>
    <w:p w14:paraId="6ADEEE72" w14:textId="77777777" w:rsidR="00550E03" w:rsidRPr="00AC0D71" w:rsidRDefault="003301DD" w:rsidP="00AC0D71">
      <w:pPr>
        <w:pStyle w:val="BodyText"/>
        <w:spacing w:line="276" w:lineRule="auto"/>
        <w:ind w:left="0"/>
        <w:jc w:val="both"/>
      </w:pPr>
      <w:r w:rsidRPr="00AC0D71">
        <w:rPr>
          <w:color w:val="0000FF"/>
          <w:u w:val="single" w:color="0000FF"/>
        </w:rPr>
        <w:t>https://</w:t>
      </w:r>
      <w:hyperlink r:id="rId7" w:history="1">
        <w:r w:rsidRPr="00AC0D71">
          <w:rPr>
            <w:rStyle w:val="Hyperlink0"/>
          </w:rPr>
          <w:t>www.gov.uk/government/publications/send-code-of-practice-0-to-25</w:t>
        </w:r>
      </w:hyperlink>
    </w:p>
    <w:p w14:paraId="056E8E51" w14:textId="77777777" w:rsidR="00550E03" w:rsidRPr="00AC0D71" w:rsidRDefault="00550E03" w:rsidP="00AC0D71">
      <w:pPr>
        <w:spacing w:line="276" w:lineRule="auto"/>
        <w:rPr>
          <w:rStyle w:val="None"/>
          <w:rFonts w:ascii="Verdana" w:eastAsia="Verdana" w:hAnsi="Verdana" w:cs="Verdana"/>
          <w:sz w:val="21"/>
          <w:szCs w:val="21"/>
        </w:rPr>
      </w:pPr>
    </w:p>
    <w:p w14:paraId="7D56797C" w14:textId="77777777" w:rsidR="00550E03" w:rsidRPr="00AC0D71" w:rsidRDefault="003301DD" w:rsidP="00AC0D71">
      <w:pPr>
        <w:pStyle w:val="BodyText"/>
        <w:spacing w:line="276" w:lineRule="auto"/>
        <w:ind w:left="0"/>
        <w:rPr>
          <w:rStyle w:val="None"/>
        </w:rPr>
      </w:pPr>
      <w:r w:rsidRPr="00AC0D71">
        <w:rPr>
          <w:rStyle w:val="None"/>
        </w:rPr>
        <w:t>To find out about the Hackney local offer, visit the SEND pages on the Hackney Learning Trust website:</w:t>
      </w:r>
    </w:p>
    <w:p w14:paraId="797F95DC" w14:textId="77777777" w:rsidR="00550E03" w:rsidRPr="00AC0D71" w:rsidRDefault="00000000" w:rsidP="00AC0D71">
      <w:pPr>
        <w:pStyle w:val="BodyText"/>
        <w:spacing w:line="276" w:lineRule="auto"/>
        <w:ind w:left="0"/>
      </w:pPr>
      <w:hyperlink r:id="rId8" w:history="1">
        <w:r w:rsidR="003301DD" w:rsidRPr="00AC0D71">
          <w:rPr>
            <w:rStyle w:val="Hyperlink0"/>
          </w:rPr>
          <w:t>http://www.hackneylocaloffer.co.uk/kb5/hackney/localoffer/home.page</w:t>
        </w:r>
      </w:hyperlink>
    </w:p>
    <w:p w14:paraId="0E7135FF" w14:textId="77777777" w:rsidR="00550E03" w:rsidRPr="00AC0D71" w:rsidRDefault="00550E03" w:rsidP="00AC0D71">
      <w:pPr>
        <w:spacing w:line="276" w:lineRule="auto"/>
        <w:rPr>
          <w:rStyle w:val="None"/>
          <w:rFonts w:ascii="Verdana" w:eastAsia="Verdana" w:hAnsi="Verdana" w:cs="Verdana"/>
          <w:sz w:val="21"/>
          <w:szCs w:val="21"/>
        </w:rPr>
      </w:pPr>
    </w:p>
    <w:p w14:paraId="02555D71" w14:textId="0FB2171A" w:rsidR="00550E03" w:rsidRPr="00AC0D71" w:rsidRDefault="003301DD" w:rsidP="00AC0D71">
      <w:pPr>
        <w:spacing w:line="276" w:lineRule="auto"/>
        <w:rPr>
          <w:rStyle w:val="None"/>
          <w:rFonts w:ascii="Verdana" w:eastAsia="Verdana" w:hAnsi="Verdana" w:cs="Verdana"/>
          <w:sz w:val="21"/>
          <w:szCs w:val="21"/>
        </w:rPr>
      </w:pPr>
      <w:r w:rsidRPr="00AC0D71">
        <w:rPr>
          <w:rStyle w:val="None"/>
          <w:rFonts w:ascii="Verdana" w:eastAsia="Verdana" w:hAnsi="Verdana" w:cs="Verdana"/>
          <w:noProof/>
          <w:sz w:val="21"/>
          <w:szCs w:val="21"/>
        </w:rPr>
        <mc:AlternateContent>
          <mc:Choice Requires="wps">
            <w:drawing>
              <wp:inline distT="0" distB="0" distL="0" distR="0" wp14:anchorId="76D066D8" wp14:editId="340663C1">
                <wp:extent cx="6154421" cy="0"/>
                <wp:effectExtent l="0" t="0" r="0" b="0"/>
                <wp:docPr id="1073741826" name="officeArt object" descr="Line"/>
                <wp:cNvGraphicFramePr/>
                <a:graphic xmlns:a="http://schemas.openxmlformats.org/drawingml/2006/main">
                  <a:graphicData uri="http://schemas.microsoft.com/office/word/2010/wordprocessingShape">
                    <wps:wsp>
                      <wps:cNvCnPr/>
                      <wps:spPr>
                        <a:xfrm>
                          <a:off x="0" y="0"/>
                          <a:ext cx="6154421" cy="0"/>
                        </a:xfrm>
                        <a:prstGeom prst="line">
                          <a:avLst/>
                        </a:prstGeom>
                        <a:noFill/>
                        <a:ln w="19558" cap="flat">
                          <a:solidFill>
                            <a:srgbClr val="000000"/>
                          </a:solidFill>
                          <a:prstDash val="solid"/>
                          <a:round/>
                        </a:ln>
                        <a:effectLst/>
                      </wps:spPr>
                      <wps:bodyPr/>
                    </wps:wsp>
                  </a:graphicData>
                </a:graphic>
              </wp:inline>
            </w:drawing>
          </mc:Choice>
          <mc:Fallback>
            <w:pict>
              <v:line id="_x0000_s1026" style="visibility:visible;width:484.6pt;height:0.0pt;">
                <v:fill on="f"/>
                <v:stroke filltype="solid" color="#000000" opacity="100.0%" weight="1.5pt" dashstyle="solid" endcap="flat" joinstyle="round" linestyle="single" startarrow="none" startarrowwidth="medium" startarrowlength="medium" endarrow="none" endarrowwidth="medium" endarrowlength="medium"/>
              </v:line>
            </w:pict>
          </mc:Fallback>
        </mc:AlternateContent>
      </w:r>
      <w:r w:rsidRPr="00AC0D71">
        <w:rPr>
          <w:rStyle w:val="None"/>
          <w:rFonts w:ascii="Verdana" w:eastAsia="Verdana" w:hAnsi="Verdana" w:cs="Verdana"/>
          <w:noProof/>
          <w:sz w:val="21"/>
          <w:szCs w:val="21"/>
        </w:rPr>
        <mc:AlternateContent>
          <mc:Choice Requires="wps">
            <w:drawing>
              <wp:inline distT="0" distB="0" distL="0" distR="0" wp14:anchorId="742DC38B" wp14:editId="1AB3A2EF">
                <wp:extent cx="6173471" cy="19685"/>
                <wp:effectExtent l="0" t="0" r="0" b="0"/>
                <wp:docPr id="1073741827" name="officeArt object" descr="Rectangle"/>
                <wp:cNvGraphicFramePr/>
                <a:graphic xmlns:a="http://schemas.openxmlformats.org/drawingml/2006/main">
                  <a:graphicData uri="http://schemas.microsoft.com/office/word/2010/wordprocessingShape">
                    <wps:wsp>
                      <wps:cNvSpPr/>
                      <wps:spPr>
                        <a:xfrm>
                          <a:off x="0" y="0"/>
                          <a:ext cx="6173471" cy="19685"/>
                        </a:xfrm>
                        <a:prstGeom prst="rect">
                          <a:avLst/>
                        </a:prstGeom>
                        <a:noFill/>
                        <a:ln w="12700" cap="flat">
                          <a:noFill/>
                          <a:miter lim="400000"/>
                        </a:ln>
                        <a:effectLst/>
                      </wps:spPr>
                      <wps:bodyPr/>
                    </wps:wsp>
                  </a:graphicData>
                </a:graphic>
              </wp:inline>
            </w:drawing>
          </mc:Choice>
          <mc:Fallback>
            <w:pict>
              <v:rect id="_x0000_s1027" style="visibility:visible;width:486.1pt;height:1.5pt;">
                <v:fill on="f"/>
                <v:stroke on="f" weight="1.0pt" dashstyle="solid" endcap="flat" miterlimit="400.0%" joinstyle="miter" linestyle="single" startarrow="none" startarrowwidth="medium" startarrowlength="medium" endarrow="none" endarrowwidth="medium" endarrowlength="medium"/>
              </v:rect>
            </w:pict>
          </mc:Fallback>
        </mc:AlternateContent>
      </w:r>
    </w:p>
    <w:p w14:paraId="1FEE73B2" w14:textId="77777777" w:rsidR="00550E03" w:rsidRPr="00AC0D71" w:rsidRDefault="003301DD" w:rsidP="00AC0D71">
      <w:pPr>
        <w:pStyle w:val="Heading1"/>
        <w:spacing w:line="276" w:lineRule="auto"/>
        <w:ind w:left="0"/>
        <w:rPr>
          <w:rStyle w:val="None"/>
        </w:rPr>
      </w:pPr>
      <w:r w:rsidRPr="00AC0D71">
        <w:rPr>
          <w:rStyle w:val="None"/>
        </w:rPr>
        <w:t>SEN Report</w:t>
      </w:r>
    </w:p>
    <w:p w14:paraId="19D93DA0" w14:textId="60F7AF7A" w:rsidR="00550E03" w:rsidRPr="00AC0D71" w:rsidRDefault="003301DD" w:rsidP="00AC0D71">
      <w:pPr>
        <w:pStyle w:val="BodyText"/>
        <w:spacing w:line="276" w:lineRule="auto"/>
        <w:ind w:left="0"/>
      </w:pPr>
      <w:r w:rsidRPr="00AC0D71">
        <w:rPr>
          <w:rStyle w:val="None"/>
        </w:rPr>
        <w:t xml:space="preserve">A child or young person has SEN if they have a learning difficulty or disability which calls for special educational provision to be made for him or her. At the Boxing Academy we are committed to identifying and meeting the needs of all students </w:t>
      </w:r>
      <w:proofErr w:type="gramStart"/>
      <w:r w:rsidRPr="00AC0D71">
        <w:rPr>
          <w:rStyle w:val="None"/>
        </w:rPr>
        <w:t>in order to</w:t>
      </w:r>
      <w:proofErr w:type="gramEnd"/>
      <w:r w:rsidRPr="00AC0D71">
        <w:rPr>
          <w:rStyle w:val="None"/>
        </w:rPr>
        <w:t xml:space="preserve"> allow them to arrive at</w:t>
      </w:r>
      <w:r w:rsidR="00AC0D71">
        <w:rPr>
          <w:rStyle w:val="None"/>
        </w:rPr>
        <w:t>,</w:t>
      </w:r>
      <w:r w:rsidRPr="00AC0D71">
        <w:rPr>
          <w:rStyle w:val="None"/>
        </w:rPr>
        <w:t xml:space="preserve"> and even exceed</w:t>
      </w:r>
      <w:r w:rsidR="00AC0D71">
        <w:rPr>
          <w:rStyle w:val="None"/>
        </w:rPr>
        <w:t>,</w:t>
      </w:r>
      <w:r w:rsidRPr="00AC0D71">
        <w:rPr>
          <w:rStyle w:val="None"/>
        </w:rPr>
        <w:t xml:space="preserve"> their potential.</w:t>
      </w:r>
    </w:p>
    <w:p w14:paraId="3E1DD1F5" w14:textId="77777777" w:rsidR="00550E03" w:rsidRPr="00AC0D71" w:rsidRDefault="00550E03" w:rsidP="00AC0D71">
      <w:pPr>
        <w:spacing w:line="276" w:lineRule="auto"/>
        <w:rPr>
          <w:rStyle w:val="None"/>
          <w:rFonts w:ascii="Verdana" w:eastAsia="Verdana" w:hAnsi="Verdana" w:cs="Verdana"/>
          <w:sz w:val="21"/>
          <w:szCs w:val="21"/>
        </w:rPr>
      </w:pPr>
    </w:p>
    <w:p w14:paraId="4D544F8C" w14:textId="12DFF857" w:rsidR="00550E03" w:rsidRPr="00AC0D71" w:rsidRDefault="003301DD" w:rsidP="00AC0D71">
      <w:pPr>
        <w:pStyle w:val="BodyText"/>
        <w:spacing w:line="276" w:lineRule="auto"/>
        <w:ind w:left="0"/>
      </w:pPr>
      <w:r w:rsidRPr="00AC0D71">
        <w:rPr>
          <w:rStyle w:val="None"/>
        </w:rPr>
        <w:t xml:space="preserve">Our school building is </w:t>
      </w:r>
      <w:r w:rsidR="002E590B" w:rsidRPr="00AC0D71">
        <w:rPr>
          <w:rStyle w:val="None"/>
        </w:rPr>
        <w:t xml:space="preserve">now more </w:t>
      </w:r>
      <w:r w:rsidRPr="00AC0D71">
        <w:rPr>
          <w:rStyle w:val="None"/>
        </w:rPr>
        <w:t xml:space="preserve">accessible for disabled students, as we are now occupying a one floor ex-primary school. Our SEND and equalities policies can be found on our website and any queries can be directed to </w:t>
      </w:r>
      <w:r w:rsidR="00AC0D71">
        <w:rPr>
          <w:rStyle w:val="None"/>
        </w:rPr>
        <w:t>the SENDCO or Principal</w:t>
      </w:r>
      <w:r w:rsidRPr="00AC0D71">
        <w:rPr>
          <w:rStyle w:val="None"/>
        </w:rPr>
        <w:t>, via the school office.</w:t>
      </w:r>
    </w:p>
    <w:p w14:paraId="367C8560" w14:textId="77777777" w:rsidR="00550E03" w:rsidRPr="00AC0D71" w:rsidRDefault="00550E03" w:rsidP="00AC0D71">
      <w:pPr>
        <w:spacing w:line="276" w:lineRule="auto"/>
        <w:rPr>
          <w:rStyle w:val="None"/>
          <w:rFonts w:ascii="Verdana" w:eastAsia="Verdana" w:hAnsi="Verdana" w:cs="Verdana"/>
          <w:sz w:val="21"/>
          <w:szCs w:val="21"/>
        </w:rPr>
      </w:pPr>
    </w:p>
    <w:p w14:paraId="621593B5" w14:textId="77777777" w:rsidR="00550E03" w:rsidRPr="00AC0D71" w:rsidRDefault="003301DD" w:rsidP="00AC0D71">
      <w:pPr>
        <w:pStyle w:val="Heading1"/>
        <w:spacing w:line="276" w:lineRule="auto"/>
        <w:ind w:left="0"/>
        <w:rPr>
          <w:rStyle w:val="None"/>
        </w:rPr>
      </w:pPr>
      <w:r w:rsidRPr="00AC0D71">
        <w:rPr>
          <w:rStyle w:val="None"/>
        </w:rPr>
        <w:t>Admissions</w:t>
      </w:r>
    </w:p>
    <w:p w14:paraId="70D06CCE" w14:textId="77777777" w:rsidR="00550E03" w:rsidRPr="00AC0D71" w:rsidRDefault="003301DD" w:rsidP="00AC0D71">
      <w:pPr>
        <w:pStyle w:val="BodyText"/>
        <w:spacing w:line="276" w:lineRule="auto"/>
        <w:ind w:left="0"/>
        <w:rPr>
          <w:rStyle w:val="None"/>
        </w:rPr>
      </w:pPr>
      <w:r w:rsidRPr="00AC0D71">
        <w:rPr>
          <w:rStyle w:val="None"/>
        </w:rPr>
        <w:t xml:space="preserve">Admission arrangements are outlined in our Admissions Policy on our website. </w:t>
      </w:r>
    </w:p>
    <w:p w14:paraId="06EB03D0" w14:textId="77777777" w:rsidR="00550E03" w:rsidRPr="00AC0D71" w:rsidRDefault="00550E03" w:rsidP="00AC0D71">
      <w:pPr>
        <w:pStyle w:val="BodyText"/>
        <w:spacing w:line="276" w:lineRule="auto"/>
        <w:ind w:left="0"/>
        <w:rPr>
          <w:rStyle w:val="None"/>
        </w:rPr>
      </w:pPr>
    </w:p>
    <w:p w14:paraId="00FE087A" w14:textId="77777777" w:rsidR="00550E03" w:rsidRPr="00AC0D71" w:rsidRDefault="003301DD" w:rsidP="00AC0D71">
      <w:pPr>
        <w:pStyle w:val="BodyText"/>
        <w:spacing w:line="276" w:lineRule="auto"/>
        <w:ind w:left="0"/>
      </w:pPr>
      <w:r w:rsidRPr="00AC0D71">
        <w:rPr>
          <w:rStyle w:val="None"/>
        </w:rPr>
        <w:t>Total number of students on roll during 2020-21: 26</w:t>
      </w:r>
    </w:p>
    <w:p w14:paraId="2C97CF7E" w14:textId="77777777" w:rsidR="00550E03" w:rsidRPr="00AC0D71" w:rsidRDefault="003301DD" w:rsidP="00AC0D71">
      <w:pPr>
        <w:pStyle w:val="BodyText"/>
        <w:spacing w:line="276" w:lineRule="auto"/>
        <w:ind w:left="0"/>
        <w:rPr>
          <w:rStyle w:val="None"/>
        </w:rPr>
      </w:pPr>
      <w:r w:rsidRPr="00AC0D71">
        <w:rPr>
          <w:rStyle w:val="None"/>
        </w:rPr>
        <w:t xml:space="preserve">Number of students with EHCPs: 6 </w:t>
      </w:r>
    </w:p>
    <w:p w14:paraId="56FFDDD4" w14:textId="60D4D3AF" w:rsidR="00550E03" w:rsidRPr="00AC0D71" w:rsidRDefault="003301DD" w:rsidP="00AC0D71">
      <w:pPr>
        <w:pStyle w:val="BodyText"/>
        <w:spacing w:line="276" w:lineRule="auto"/>
        <w:ind w:left="0"/>
      </w:pPr>
      <w:r w:rsidRPr="00AC0D71">
        <w:rPr>
          <w:rStyle w:val="None"/>
        </w:rPr>
        <w:t xml:space="preserve">Number of students identified as SEN Support: </w:t>
      </w:r>
      <w:r w:rsidR="00AC0D71">
        <w:rPr>
          <w:rStyle w:val="None"/>
        </w:rPr>
        <w:t>20</w:t>
      </w:r>
    </w:p>
    <w:p w14:paraId="30EDF72E" w14:textId="77777777" w:rsidR="00550E03" w:rsidRPr="00AC0D71" w:rsidRDefault="003301DD" w:rsidP="00AC0D71">
      <w:pPr>
        <w:pStyle w:val="BodyText"/>
        <w:spacing w:line="276" w:lineRule="auto"/>
        <w:ind w:left="0"/>
      </w:pPr>
      <w:r w:rsidRPr="00AC0D71">
        <w:rPr>
          <w:rStyle w:val="None"/>
        </w:rPr>
        <w:t>Percentage of school population with Special Educational Needs provision: 100%</w:t>
      </w:r>
    </w:p>
    <w:p w14:paraId="343063BF" w14:textId="77777777" w:rsidR="00550E03" w:rsidRPr="00AC0D71" w:rsidRDefault="00550E03" w:rsidP="00AC0D71">
      <w:pPr>
        <w:spacing w:line="276" w:lineRule="auto"/>
        <w:rPr>
          <w:rStyle w:val="None"/>
          <w:rFonts w:ascii="Verdana" w:eastAsia="Verdana" w:hAnsi="Verdana" w:cs="Verdana"/>
          <w:sz w:val="21"/>
          <w:szCs w:val="21"/>
        </w:rPr>
      </w:pPr>
    </w:p>
    <w:p w14:paraId="3F6F6D87" w14:textId="77777777" w:rsidR="00550E03" w:rsidRPr="00AC0D71" w:rsidRDefault="003301DD" w:rsidP="00AC0D71">
      <w:pPr>
        <w:pStyle w:val="Heading1"/>
        <w:spacing w:line="276" w:lineRule="auto"/>
        <w:ind w:left="0"/>
        <w:rPr>
          <w:rStyle w:val="None"/>
        </w:rPr>
      </w:pPr>
      <w:r w:rsidRPr="00AC0D71">
        <w:rPr>
          <w:rStyle w:val="None"/>
        </w:rPr>
        <w:lastRenderedPageBreak/>
        <w:t>Provision for students with special education needs and disabilities.</w:t>
      </w:r>
    </w:p>
    <w:p w14:paraId="5B658AA2" w14:textId="77777777" w:rsidR="00AC0D71" w:rsidRDefault="003301DD" w:rsidP="00AC0D71">
      <w:pPr>
        <w:pStyle w:val="BodyText"/>
        <w:spacing w:line="276" w:lineRule="auto"/>
        <w:ind w:left="0"/>
        <w:rPr>
          <w:rStyle w:val="None"/>
        </w:rPr>
      </w:pPr>
      <w:r w:rsidRPr="00AC0D71">
        <w:rPr>
          <w:rStyle w:val="None"/>
        </w:rPr>
        <w:t xml:space="preserve">We believe that the most important factor in ensuring academic and personal success is outstanding classroom teaching. We practice a rigorous approach which clearly identifies students who require academic or social, emotional and well-being support and interventions. </w:t>
      </w:r>
    </w:p>
    <w:p w14:paraId="2A9D6ADD" w14:textId="77777777" w:rsidR="00AC0D71" w:rsidRDefault="00AC0D71" w:rsidP="00AC0D71">
      <w:pPr>
        <w:pStyle w:val="BodyText"/>
        <w:spacing w:line="276" w:lineRule="auto"/>
        <w:ind w:left="0"/>
        <w:rPr>
          <w:rStyle w:val="None"/>
        </w:rPr>
      </w:pPr>
    </w:p>
    <w:p w14:paraId="30C9B766" w14:textId="7F88BBE5" w:rsidR="00550E03" w:rsidRPr="00AC0D71" w:rsidRDefault="003301DD" w:rsidP="00AC0D71">
      <w:pPr>
        <w:pStyle w:val="BodyText"/>
        <w:spacing w:line="276" w:lineRule="auto"/>
        <w:ind w:left="0"/>
      </w:pPr>
      <w:r w:rsidRPr="00AC0D71">
        <w:rPr>
          <w:rStyle w:val="None"/>
        </w:rPr>
        <w:t>We review the progress of all students three times a year with parents/</w:t>
      </w:r>
      <w:proofErr w:type="spellStart"/>
      <w:r w:rsidRPr="00AC0D71">
        <w:rPr>
          <w:rStyle w:val="None"/>
        </w:rPr>
        <w:t>carers</w:t>
      </w:r>
      <w:proofErr w:type="spellEnd"/>
      <w:r w:rsidRPr="00AC0D71">
        <w:rPr>
          <w:rStyle w:val="None"/>
        </w:rPr>
        <w:t xml:space="preserve"> and external agencies. We are committed to working with all families and the community to support our students. If a student is not making their expected </w:t>
      </w:r>
      <w:proofErr w:type="gramStart"/>
      <w:r w:rsidRPr="00AC0D71">
        <w:rPr>
          <w:rStyle w:val="None"/>
        </w:rPr>
        <w:t>progress</w:t>
      </w:r>
      <w:proofErr w:type="gramEnd"/>
      <w:r w:rsidRPr="00AC0D71">
        <w:rPr>
          <w:rStyle w:val="None"/>
        </w:rPr>
        <w:t xml:space="preserve"> we offer targeted intervention and whole-school initiatives including (but not limited to):</w:t>
      </w:r>
    </w:p>
    <w:p w14:paraId="458D9859" w14:textId="77777777" w:rsidR="00550E03" w:rsidRPr="00AC0D71" w:rsidRDefault="00550E03" w:rsidP="00AC0D71">
      <w:pPr>
        <w:spacing w:line="276" w:lineRule="auto"/>
        <w:rPr>
          <w:rStyle w:val="None"/>
          <w:rFonts w:ascii="Verdana" w:eastAsia="Verdana" w:hAnsi="Verdana" w:cs="Verdana"/>
          <w:sz w:val="21"/>
          <w:szCs w:val="21"/>
        </w:rPr>
      </w:pPr>
    </w:p>
    <w:p w14:paraId="641A756E" w14:textId="77777777" w:rsidR="00550E03" w:rsidRPr="00AC0D71" w:rsidRDefault="003301DD" w:rsidP="00AC0D71">
      <w:pPr>
        <w:pStyle w:val="Heading1"/>
        <w:spacing w:line="276" w:lineRule="auto"/>
        <w:ind w:left="0"/>
        <w:rPr>
          <w:rStyle w:val="None"/>
          <w:b w:val="0"/>
          <w:bCs w:val="0"/>
        </w:rPr>
      </w:pPr>
      <w:r w:rsidRPr="00AC0D71">
        <w:rPr>
          <w:rStyle w:val="None"/>
        </w:rPr>
        <w:t>Academic support and interventions</w:t>
      </w:r>
    </w:p>
    <w:p w14:paraId="6617FAC3" w14:textId="77777777" w:rsidR="00550E03" w:rsidRPr="00AC0D71" w:rsidRDefault="003301DD" w:rsidP="00AC0D71">
      <w:pPr>
        <w:pStyle w:val="BodyText"/>
        <w:numPr>
          <w:ilvl w:val="0"/>
          <w:numId w:val="4"/>
        </w:numPr>
        <w:spacing w:line="276" w:lineRule="auto"/>
      </w:pPr>
      <w:r w:rsidRPr="00AC0D71">
        <w:rPr>
          <w:rStyle w:val="None"/>
        </w:rPr>
        <w:t>Speech and Language Therapy</w:t>
      </w:r>
    </w:p>
    <w:p w14:paraId="40FC0A11" w14:textId="77777777" w:rsidR="00550E03" w:rsidRPr="00AC0D71" w:rsidRDefault="003301DD" w:rsidP="00AC0D71">
      <w:pPr>
        <w:pStyle w:val="BodyText"/>
        <w:numPr>
          <w:ilvl w:val="0"/>
          <w:numId w:val="4"/>
        </w:numPr>
        <w:spacing w:line="276" w:lineRule="auto"/>
      </w:pPr>
      <w:r w:rsidRPr="00AC0D71">
        <w:rPr>
          <w:rStyle w:val="None"/>
        </w:rPr>
        <w:t>1:1 Literacy or numeracy intervention</w:t>
      </w:r>
    </w:p>
    <w:p w14:paraId="201B185A" w14:textId="77777777" w:rsidR="00550E03" w:rsidRPr="00AC0D71" w:rsidRDefault="003301DD" w:rsidP="00AC0D71">
      <w:pPr>
        <w:pStyle w:val="BodyText"/>
        <w:numPr>
          <w:ilvl w:val="0"/>
          <w:numId w:val="4"/>
        </w:numPr>
        <w:spacing w:line="276" w:lineRule="auto"/>
      </w:pPr>
      <w:r w:rsidRPr="00AC0D71">
        <w:rPr>
          <w:rStyle w:val="None"/>
        </w:rPr>
        <w:t>Support from Pod Leaders in lessons</w:t>
      </w:r>
    </w:p>
    <w:p w14:paraId="4A81F6EE" w14:textId="77777777" w:rsidR="00550E03" w:rsidRPr="00AC0D71" w:rsidRDefault="003301DD" w:rsidP="00AC0D71">
      <w:pPr>
        <w:pStyle w:val="BodyText"/>
        <w:numPr>
          <w:ilvl w:val="0"/>
          <w:numId w:val="4"/>
        </w:numPr>
        <w:spacing w:line="276" w:lineRule="auto"/>
      </w:pPr>
      <w:r w:rsidRPr="00AC0D71">
        <w:rPr>
          <w:rStyle w:val="None"/>
        </w:rPr>
        <w:t>After school support</w:t>
      </w:r>
    </w:p>
    <w:p w14:paraId="76EAF82D" w14:textId="77777777" w:rsidR="00550E03" w:rsidRPr="00AC0D71" w:rsidRDefault="003301DD" w:rsidP="00AC0D71">
      <w:pPr>
        <w:pStyle w:val="BodyText"/>
        <w:numPr>
          <w:ilvl w:val="0"/>
          <w:numId w:val="4"/>
        </w:numPr>
        <w:spacing w:line="276" w:lineRule="auto"/>
      </w:pPr>
      <w:r w:rsidRPr="00AC0D71">
        <w:rPr>
          <w:rStyle w:val="None"/>
        </w:rPr>
        <w:t>Access to a laptop computer during lessons</w:t>
      </w:r>
    </w:p>
    <w:p w14:paraId="2F3FCFE2" w14:textId="77777777" w:rsidR="00550E03" w:rsidRPr="00AC0D71" w:rsidRDefault="003301DD" w:rsidP="00AC0D71">
      <w:pPr>
        <w:pStyle w:val="BodyText"/>
        <w:numPr>
          <w:ilvl w:val="0"/>
          <w:numId w:val="4"/>
        </w:numPr>
        <w:spacing w:line="276" w:lineRule="auto"/>
      </w:pPr>
      <w:r w:rsidRPr="00AC0D71">
        <w:rPr>
          <w:rStyle w:val="None"/>
        </w:rPr>
        <w:t>Small teaching groups for every subject</w:t>
      </w:r>
    </w:p>
    <w:p w14:paraId="3E16DC8E" w14:textId="77777777" w:rsidR="00550E03" w:rsidRPr="00AC0D71" w:rsidRDefault="00550E03" w:rsidP="00AC0D71">
      <w:pPr>
        <w:spacing w:line="276" w:lineRule="auto"/>
        <w:rPr>
          <w:rStyle w:val="None"/>
          <w:rFonts w:ascii="Verdana" w:eastAsia="Verdana" w:hAnsi="Verdana" w:cs="Verdana"/>
          <w:sz w:val="21"/>
          <w:szCs w:val="21"/>
        </w:rPr>
      </w:pPr>
    </w:p>
    <w:p w14:paraId="4B468617" w14:textId="1B7E16AF" w:rsidR="00550E03" w:rsidRPr="00AC0D71" w:rsidRDefault="003301DD" w:rsidP="00AC0D71">
      <w:pPr>
        <w:pStyle w:val="BodyText"/>
        <w:spacing w:line="276" w:lineRule="auto"/>
        <w:ind w:left="0"/>
      </w:pPr>
      <w:r w:rsidRPr="00AC0D71">
        <w:rPr>
          <w:rStyle w:val="None"/>
        </w:rPr>
        <w:t>Throughout the school day, including the formal curriculum and unstructured time, staff monitor students’ engagement. Progress, as well as incidents of</w:t>
      </w:r>
      <w:r w:rsidR="00AC0D71">
        <w:rPr>
          <w:rStyle w:val="None"/>
        </w:rPr>
        <w:t xml:space="preserve"> </w:t>
      </w:r>
      <w:r w:rsidRPr="00AC0D71">
        <w:rPr>
          <w:rStyle w:val="None"/>
        </w:rPr>
        <w:t xml:space="preserve">concern and </w:t>
      </w:r>
      <w:r w:rsidR="00AC0D71">
        <w:rPr>
          <w:rStyle w:val="None"/>
        </w:rPr>
        <w:t>safer</w:t>
      </w:r>
      <w:r w:rsidRPr="00AC0D71">
        <w:rPr>
          <w:rStyle w:val="None"/>
        </w:rPr>
        <w:t xml:space="preserve"> handling are logged on the school’s management information system. </w:t>
      </w:r>
    </w:p>
    <w:p w14:paraId="6B92F360" w14:textId="77777777" w:rsidR="00550E03" w:rsidRPr="00AC0D71" w:rsidRDefault="00550E03" w:rsidP="00AC0D71">
      <w:pPr>
        <w:spacing w:line="276" w:lineRule="auto"/>
        <w:rPr>
          <w:rStyle w:val="None"/>
          <w:rFonts w:ascii="Verdana" w:eastAsia="Verdana" w:hAnsi="Verdana" w:cs="Verdana"/>
          <w:sz w:val="21"/>
          <w:szCs w:val="21"/>
        </w:rPr>
      </w:pPr>
    </w:p>
    <w:p w14:paraId="7F8F8D9A" w14:textId="77777777" w:rsidR="00550E03" w:rsidRPr="00AC0D71" w:rsidRDefault="003301DD" w:rsidP="00AC0D71">
      <w:pPr>
        <w:pStyle w:val="Heading1"/>
        <w:spacing w:line="276" w:lineRule="auto"/>
        <w:ind w:left="0"/>
        <w:rPr>
          <w:rStyle w:val="None"/>
          <w:b w:val="0"/>
          <w:bCs w:val="0"/>
        </w:rPr>
      </w:pPr>
      <w:r w:rsidRPr="00AC0D71">
        <w:rPr>
          <w:rStyle w:val="None"/>
        </w:rPr>
        <w:t>Social, emotional and well-being support and interventions</w:t>
      </w:r>
    </w:p>
    <w:p w14:paraId="41384428" w14:textId="77777777" w:rsidR="00550E03" w:rsidRPr="00AC0D71" w:rsidRDefault="003301DD" w:rsidP="00AC0D71">
      <w:pPr>
        <w:pStyle w:val="BodyText"/>
        <w:numPr>
          <w:ilvl w:val="0"/>
          <w:numId w:val="4"/>
        </w:numPr>
        <w:spacing w:line="276" w:lineRule="auto"/>
      </w:pPr>
      <w:r w:rsidRPr="00AC0D71">
        <w:rPr>
          <w:rStyle w:val="None"/>
        </w:rPr>
        <w:t>Counselling</w:t>
      </w:r>
    </w:p>
    <w:p w14:paraId="269B8C13" w14:textId="77777777" w:rsidR="00550E03" w:rsidRPr="00AC0D71" w:rsidRDefault="003301DD" w:rsidP="00AC0D71">
      <w:pPr>
        <w:pStyle w:val="BodyText"/>
        <w:numPr>
          <w:ilvl w:val="0"/>
          <w:numId w:val="4"/>
        </w:numPr>
        <w:spacing w:line="276" w:lineRule="auto"/>
      </w:pPr>
      <w:r w:rsidRPr="00AC0D71">
        <w:rPr>
          <w:rStyle w:val="None"/>
        </w:rPr>
        <w:t>Behaviour passport mentoring</w:t>
      </w:r>
    </w:p>
    <w:p w14:paraId="38596AB4" w14:textId="77777777" w:rsidR="00550E03" w:rsidRPr="00AC0D71" w:rsidRDefault="003301DD" w:rsidP="00AC0D71">
      <w:pPr>
        <w:pStyle w:val="BodyText"/>
        <w:numPr>
          <w:ilvl w:val="0"/>
          <w:numId w:val="4"/>
        </w:numPr>
        <w:spacing w:line="276" w:lineRule="auto"/>
      </w:pPr>
      <w:r w:rsidRPr="00AC0D71">
        <w:rPr>
          <w:rStyle w:val="None"/>
        </w:rPr>
        <w:t>Boxing training</w:t>
      </w:r>
    </w:p>
    <w:p w14:paraId="595F3EE6" w14:textId="77777777" w:rsidR="00550E03" w:rsidRPr="00AC0D71" w:rsidRDefault="00550E03" w:rsidP="00AC0D71">
      <w:pPr>
        <w:spacing w:line="276" w:lineRule="auto"/>
        <w:rPr>
          <w:rStyle w:val="None"/>
          <w:rFonts w:ascii="Verdana" w:eastAsia="Verdana" w:hAnsi="Verdana" w:cs="Verdana"/>
          <w:sz w:val="21"/>
          <w:szCs w:val="21"/>
        </w:rPr>
      </w:pPr>
    </w:p>
    <w:p w14:paraId="0818ECE9" w14:textId="32F136D1" w:rsidR="00550E03" w:rsidRPr="00AC0D71" w:rsidRDefault="003301DD" w:rsidP="00AC0D71">
      <w:pPr>
        <w:pStyle w:val="BodyText"/>
        <w:spacing w:line="276" w:lineRule="auto"/>
        <w:ind w:left="0"/>
      </w:pPr>
      <w:r w:rsidRPr="00AC0D71">
        <w:rPr>
          <w:rStyle w:val="None"/>
        </w:rPr>
        <w:t>All practice at the Boxing Academy seeks to support and develop students’</w:t>
      </w:r>
      <w:r w:rsidR="00AC0D71" w:rsidRPr="00AC0D71">
        <w:t xml:space="preserve"> </w:t>
      </w:r>
      <w:r w:rsidRPr="00AC0D71">
        <w:rPr>
          <w:rStyle w:val="None"/>
        </w:rPr>
        <w:t xml:space="preserve">emotional, </w:t>
      </w:r>
      <w:proofErr w:type="gramStart"/>
      <w:r w:rsidRPr="00AC0D71">
        <w:rPr>
          <w:rStyle w:val="None"/>
        </w:rPr>
        <w:t>moral</w:t>
      </w:r>
      <w:proofErr w:type="gramEnd"/>
      <w:r w:rsidRPr="00AC0D71">
        <w:rPr>
          <w:rStyle w:val="None"/>
        </w:rPr>
        <w:t xml:space="preserve"> and social development. Unlike most schools, we do not track negative </w:t>
      </w:r>
      <w:proofErr w:type="spellStart"/>
      <w:r w:rsidRPr="00AC0D71">
        <w:rPr>
          <w:rStyle w:val="None"/>
        </w:rPr>
        <w:t>behaviour</w:t>
      </w:r>
      <w:proofErr w:type="spellEnd"/>
      <w:r w:rsidRPr="00AC0D71">
        <w:rPr>
          <w:rStyle w:val="None"/>
        </w:rPr>
        <w:t xml:space="preserve">, preferring instead to </w:t>
      </w:r>
      <w:proofErr w:type="spellStart"/>
      <w:r w:rsidRPr="00AC0D71">
        <w:rPr>
          <w:rStyle w:val="None"/>
        </w:rPr>
        <w:t>recognise</w:t>
      </w:r>
      <w:proofErr w:type="spellEnd"/>
      <w:r w:rsidRPr="00AC0D71">
        <w:rPr>
          <w:rStyle w:val="None"/>
        </w:rPr>
        <w:t xml:space="preserve"> and encourage positive </w:t>
      </w:r>
      <w:proofErr w:type="spellStart"/>
      <w:r w:rsidRPr="00AC0D71">
        <w:rPr>
          <w:rStyle w:val="None"/>
        </w:rPr>
        <w:t>behaviour</w:t>
      </w:r>
      <w:proofErr w:type="spellEnd"/>
      <w:r w:rsidRPr="00AC0D71">
        <w:rPr>
          <w:rStyle w:val="None"/>
        </w:rPr>
        <w:t xml:space="preserve"> progress through a system of reward points, star cards, </w:t>
      </w:r>
      <w:proofErr w:type="gramStart"/>
      <w:r w:rsidRPr="00AC0D71">
        <w:rPr>
          <w:rStyle w:val="None"/>
        </w:rPr>
        <w:t>vouchers</w:t>
      </w:r>
      <w:proofErr w:type="gramEnd"/>
      <w:r w:rsidRPr="00AC0D71">
        <w:rPr>
          <w:rStyle w:val="None"/>
        </w:rPr>
        <w:t xml:space="preserve"> and rankings. The following policies outline the school’s practice </w:t>
      </w:r>
      <w:proofErr w:type="gramStart"/>
      <w:r w:rsidRPr="00AC0D71">
        <w:rPr>
          <w:rStyle w:val="None"/>
        </w:rPr>
        <w:t>with regard to</w:t>
      </w:r>
      <w:proofErr w:type="gramEnd"/>
      <w:r w:rsidRPr="00AC0D71">
        <w:rPr>
          <w:rStyle w:val="None"/>
        </w:rPr>
        <w:t xml:space="preserve"> assessing and reviewing the progress of students and they explain how the school adapts the curriculum and learning environment to meet their needs:</w:t>
      </w:r>
    </w:p>
    <w:p w14:paraId="3F454E82" w14:textId="77777777" w:rsidR="00550E03" w:rsidRPr="00AC0D71" w:rsidRDefault="00550E03" w:rsidP="00AC0D71">
      <w:pPr>
        <w:spacing w:line="276" w:lineRule="auto"/>
        <w:rPr>
          <w:rStyle w:val="None"/>
          <w:rFonts w:ascii="Verdana" w:eastAsia="Verdana" w:hAnsi="Verdana" w:cs="Verdana"/>
          <w:sz w:val="21"/>
          <w:szCs w:val="21"/>
        </w:rPr>
      </w:pPr>
    </w:p>
    <w:p w14:paraId="60E19CFA" w14:textId="77777777" w:rsidR="00550E03" w:rsidRPr="00AC0D71" w:rsidRDefault="003301DD" w:rsidP="00AC0D71">
      <w:pPr>
        <w:pStyle w:val="BodyText"/>
        <w:numPr>
          <w:ilvl w:val="0"/>
          <w:numId w:val="6"/>
        </w:numPr>
        <w:spacing w:line="276" w:lineRule="auto"/>
      </w:pPr>
      <w:r w:rsidRPr="00AC0D71">
        <w:rPr>
          <w:rStyle w:val="None"/>
        </w:rPr>
        <w:t>Curriculum Policy</w:t>
      </w:r>
    </w:p>
    <w:p w14:paraId="4A501529" w14:textId="77777777" w:rsidR="00550E03" w:rsidRPr="00AC0D71" w:rsidRDefault="003301DD" w:rsidP="00AC0D71">
      <w:pPr>
        <w:pStyle w:val="BodyText"/>
        <w:numPr>
          <w:ilvl w:val="0"/>
          <w:numId w:val="6"/>
        </w:numPr>
        <w:spacing w:line="276" w:lineRule="auto"/>
      </w:pPr>
      <w:r w:rsidRPr="00AC0D71">
        <w:rPr>
          <w:rStyle w:val="None"/>
        </w:rPr>
        <w:t>Assessment Policy</w:t>
      </w:r>
    </w:p>
    <w:p w14:paraId="7D48A6C6" w14:textId="77777777" w:rsidR="00550E03" w:rsidRPr="00AC0D71" w:rsidRDefault="003301DD" w:rsidP="00AC0D71">
      <w:pPr>
        <w:pStyle w:val="BodyText"/>
        <w:numPr>
          <w:ilvl w:val="0"/>
          <w:numId w:val="6"/>
        </w:numPr>
        <w:spacing w:line="276" w:lineRule="auto"/>
      </w:pPr>
      <w:r w:rsidRPr="00AC0D71">
        <w:rPr>
          <w:rStyle w:val="None"/>
        </w:rPr>
        <w:t>Behaviour Policy</w:t>
      </w:r>
    </w:p>
    <w:p w14:paraId="6732F4CF" w14:textId="77777777" w:rsidR="00550E03" w:rsidRPr="00AC0D71" w:rsidRDefault="003301DD" w:rsidP="00AC0D71">
      <w:pPr>
        <w:pStyle w:val="BodyText"/>
        <w:numPr>
          <w:ilvl w:val="0"/>
          <w:numId w:val="6"/>
        </w:numPr>
        <w:spacing w:line="276" w:lineRule="auto"/>
      </w:pPr>
      <w:r w:rsidRPr="00AC0D71">
        <w:rPr>
          <w:rStyle w:val="None"/>
        </w:rPr>
        <w:t>SEND Policy</w:t>
      </w:r>
    </w:p>
    <w:p w14:paraId="28E6A535" w14:textId="77777777" w:rsidR="00550E03" w:rsidRPr="00AC0D71" w:rsidRDefault="003301DD" w:rsidP="00AC0D71">
      <w:pPr>
        <w:pStyle w:val="BodyText"/>
        <w:numPr>
          <w:ilvl w:val="0"/>
          <w:numId w:val="6"/>
        </w:numPr>
        <w:spacing w:line="276" w:lineRule="auto"/>
      </w:pPr>
      <w:r w:rsidRPr="00AC0D71">
        <w:rPr>
          <w:rStyle w:val="None"/>
        </w:rPr>
        <w:t>Code of Conduct</w:t>
      </w:r>
    </w:p>
    <w:p w14:paraId="335CAD55" w14:textId="77777777" w:rsidR="00550E03" w:rsidRPr="00AC0D71" w:rsidRDefault="00550E03" w:rsidP="00AC0D71">
      <w:pPr>
        <w:spacing w:line="276" w:lineRule="auto"/>
        <w:rPr>
          <w:rStyle w:val="None"/>
          <w:rFonts w:ascii="Verdana" w:eastAsia="Verdana" w:hAnsi="Verdana" w:cs="Verdana"/>
          <w:sz w:val="21"/>
          <w:szCs w:val="21"/>
        </w:rPr>
      </w:pPr>
    </w:p>
    <w:p w14:paraId="05726FDF" w14:textId="77777777" w:rsidR="00550E03" w:rsidRPr="00AC0D71" w:rsidRDefault="003301DD" w:rsidP="00AC0D71">
      <w:pPr>
        <w:pStyle w:val="BodyText"/>
        <w:spacing w:line="276" w:lineRule="auto"/>
        <w:ind w:left="0"/>
      </w:pPr>
      <w:r w:rsidRPr="00AC0D71">
        <w:rPr>
          <w:rStyle w:val="None"/>
        </w:rPr>
        <w:t>All students are taught in classes of no more than eight students by a teacher supported by a pod leader, who also supports the students’ pastoral needs outside the classroom. Individual students receive 1:1 support for literacy and numeracy as appropriate. Looked After Children receive specialist mentoring.</w:t>
      </w:r>
    </w:p>
    <w:p w14:paraId="123A7743" w14:textId="77777777" w:rsidR="00550E03" w:rsidRPr="00AC0D71" w:rsidRDefault="00550E03" w:rsidP="00AC0D71">
      <w:pPr>
        <w:spacing w:line="276" w:lineRule="auto"/>
        <w:rPr>
          <w:rStyle w:val="None"/>
          <w:rFonts w:ascii="Verdana" w:eastAsia="Verdana" w:hAnsi="Verdana" w:cs="Verdana"/>
          <w:sz w:val="21"/>
          <w:szCs w:val="21"/>
        </w:rPr>
      </w:pPr>
    </w:p>
    <w:p w14:paraId="67FDF01F" w14:textId="77777777" w:rsidR="00550E03" w:rsidRPr="00AC0D71" w:rsidRDefault="003301DD" w:rsidP="00AC0D71">
      <w:pPr>
        <w:pStyle w:val="BodyText"/>
        <w:spacing w:line="276" w:lineRule="auto"/>
        <w:ind w:left="0"/>
      </w:pPr>
      <w:r w:rsidRPr="00AC0D71">
        <w:rPr>
          <w:rStyle w:val="None"/>
        </w:rPr>
        <w:t xml:space="preserve">Students are prepared for leaving school through a series of interventions including a course on Employability Skills, careers advice with the Prospects Advisor, visits to careers fairs and </w:t>
      </w:r>
      <w:r w:rsidRPr="00AC0D71">
        <w:rPr>
          <w:rStyle w:val="None"/>
        </w:rPr>
        <w:lastRenderedPageBreak/>
        <w:t>corporate settings. Students are supported by making visits to post- 16 provision and with completing College applications.</w:t>
      </w:r>
    </w:p>
    <w:p w14:paraId="13F1CA9A" w14:textId="77777777" w:rsidR="00550E03" w:rsidRPr="00AC0D71" w:rsidRDefault="00550E03" w:rsidP="00AC0D71">
      <w:pPr>
        <w:spacing w:line="276" w:lineRule="auto"/>
        <w:rPr>
          <w:rStyle w:val="None"/>
          <w:rFonts w:ascii="Verdana" w:eastAsia="Verdana" w:hAnsi="Verdana" w:cs="Verdana"/>
          <w:sz w:val="21"/>
          <w:szCs w:val="21"/>
        </w:rPr>
      </w:pPr>
    </w:p>
    <w:p w14:paraId="2A35082A" w14:textId="4F38FD42" w:rsidR="00550E03" w:rsidRPr="00AC0D71" w:rsidRDefault="003301DD" w:rsidP="00AC0D71">
      <w:pPr>
        <w:pStyle w:val="BodyText"/>
        <w:spacing w:line="276" w:lineRule="auto"/>
        <w:ind w:left="0"/>
      </w:pPr>
      <w:r w:rsidRPr="00AC0D71">
        <w:rPr>
          <w:rStyle w:val="None"/>
        </w:rPr>
        <w:t>Staff training is on-going and is designed to match student need and school priorities as outlined in the School Development Plan. Weekly CPD sessions always include an SEN component so teachers and pod leaders can review students’ personal learning plans. All staff take part in annual Safeguarding Training and Safer Handling refresher training.</w:t>
      </w:r>
    </w:p>
    <w:p w14:paraId="4F86F186" w14:textId="77777777" w:rsidR="00550E03" w:rsidRPr="00AC0D71" w:rsidRDefault="00550E03" w:rsidP="00AC0D71">
      <w:pPr>
        <w:spacing w:line="276" w:lineRule="auto"/>
        <w:rPr>
          <w:rStyle w:val="None"/>
          <w:rFonts w:ascii="Verdana" w:eastAsia="Verdana" w:hAnsi="Verdana" w:cs="Verdana"/>
          <w:sz w:val="21"/>
          <w:szCs w:val="21"/>
        </w:rPr>
      </w:pPr>
    </w:p>
    <w:p w14:paraId="06EC7959" w14:textId="77777777" w:rsidR="00550E03" w:rsidRPr="00AC0D71" w:rsidRDefault="003301DD" w:rsidP="00AC0D71">
      <w:pPr>
        <w:pStyle w:val="Heading1"/>
        <w:spacing w:line="276" w:lineRule="auto"/>
        <w:ind w:left="0"/>
        <w:rPr>
          <w:rStyle w:val="None"/>
        </w:rPr>
      </w:pPr>
      <w:r w:rsidRPr="00AC0D71">
        <w:rPr>
          <w:rStyle w:val="None"/>
        </w:rPr>
        <w:t>Evaluation – outcomes and progress</w:t>
      </w:r>
    </w:p>
    <w:p w14:paraId="38F812BD" w14:textId="77777777" w:rsidR="00550E03" w:rsidRPr="00AC0D71" w:rsidRDefault="003301DD" w:rsidP="00AC0D71">
      <w:pPr>
        <w:pStyle w:val="BodyText"/>
        <w:spacing w:line="276" w:lineRule="auto"/>
        <w:ind w:left="0"/>
      </w:pPr>
      <w:r w:rsidRPr="00AC0D71">
        <w:rPr>
          <w:rStyle w:val="None"/>
        </w:rPr>
        <w:t xml:space="preserve">The impact of the additional support and intervention put in place by the academy for SEN support students and students with EHCP (formerly known as statements) is evident in their attainment and the progress students made in English and </w:t>
      </w:r>
      <w:proofErr w:type="spellStart"/>
      <w:r w:rsidRPr="00AC0D71">
        <w:rPr>
          <w:rStyle w:val="None"/>
        </w:rPr>
        <w:t>maths</w:t>
      </w:r>
      <w:proofErr w:type="spellEnd"/>
      <w:r w:rsidRPr="00AC0D71">
        <w:rPr>
          <w:rStyle w:val="None"/>
        </w:rPr>
        <w:t xml:space="preserve"> against national averages for both mainstream and alternative provision.</w:t>
      </w:r>
    </w:p>
    <w:p w14:paraId="1FF3BA79" w14:textId="77777777" w:rsidR="00550E03" w:rsidRPr="00AC0D71" w:rsidRDefault="00550E03" w:rsidP="00AC0D71">
      <w:pPr>
        <w:spacing w:line="276" w:lineRule="auto"/>
        <w:rPr>
          <w:rStyle w:val="None"/>
          <w:rFonts w:ascii="Verdana" w:eastAsia="Verdana" w:hAnsi="Verdana" w:cs="Verdana"/>
          <w:sz w:val="21"/>
          <w:szCs w:val="21"/>
        </w:rPr>
      </w:pPr>
    </w:p>
    <w:p w14:paraId="64457751" w14:textId="77777777" w:rsidR="00550E03" w:rsidRPr="00AC0D71" w:rsidRDefault="003301DD" w:rsidP="00AC0D71">
      <w:pPr>
        <w:pStyle w:val="BodyText"/>
        <w:spacing w:line="276" w:lineRule="auto"/>
        <w:ind w:left="0" w:firstLine="720"/>
      </w:pPr>
      <w:r w:rsidRPr="00AC0D71">
        <w:rPr>
          <w:rStyle w:val="None"/>
        </w:rPr>
        <w:t>“Teachers quickly assess pupils’ academic needs. They know that many have gaps in their learning. Some have special educational needs and/or disabilities (SEND). The needs of these pupils are met</w:t>
      </w:r>
      <w:proofErr w:type="gramStart"/>
      <w:r w:rsidRPr="00AC0D71">
        <w:rPr>
          <w:rStyle w:val="None"/>
        </w:rPr>
        <w:t>. ”</w:t>
      </w:r>
      <w:proofErr w:type="gramEnd"/>
    </w:p>
    <w:p w14:paraId="57FF4394" w14:textId="77777777" w:rsidR="00550E03" w:rsidRPr="00AC0D71" w:rsidRDefault="003301DD" w:rsidP="00AC0D71">
      <w:pPr>
        <w:pStyle w:val="BodyText"/>
        <w:spacing w:line="276" w:lineRule="auto"/>
        <w:ind w:left="0"/>
        <w:jc w:val="right"/>
      </w:pPr>
      <w:r w:rsidRPr="00AC0D71">
        <w:rPr>
          <w:rStyle w:val="None"/>
        </w:rPr>
        <w:t xml:space="preserve">– </w:t>
      </w:r>
      <w:proofErr w:type="spellStart"/>
      <w:r w:rsidRPr="00AC0D71">
        <w:rPr>
          <w:rStyle w:val="None"/>
        </w:rPr>
        <w:t>Ofsted</w:t>
      </w:r>
      <w:proofErr w:type="spellEnd"/>
      <w:r w:rsidRPr="00AC0D71">
        <w:rPr>
          <w:rStyle w:val="None"/>
        </w:rPr>
        <w:t xml:space="preserve"> 2020.</w:t>
      </w:r>
    </w:p>
    <w:sectPr w:rsidR="00550E03" w:rsidRPr="00AC0D71" w:rsidSect="00AC0D71">
      <w:headerReference w:type="default" r:id="rId9"/>
      <w:pgSz w:w="11920" w:h="16840"/>
      <w:pgMar w:top="1778" w:right="940" w:bottom="1184" w:left="1020" w:header="71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2D505" w14:textId="77777777" w:rsidR="00761B9A" w:rsidRDefault="00761B9A">
      <w:r>
        <w:separator/>
      </w:r>
    </w:p>
  </w:endnote>
  <w:endnote w:type="continuationSeparator" w:id="0">
    <w:p w14:paraId="6F0A1C65" w14:textId="77777777" w:rsidR="00761B9A" w:rsidRDefault="00761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ADEEE" w14:textId="77777777" w:rsidR="00761B9A" w:rsidRDefault="00761B9A">
      <w:r>
        <w:separator/>
      </w:r>
    </w:p>
  </w:footnote>
  <w:footnote w:type="continuationSeparator" w:id="0">
    <w:p w14:paraId="4F789D96" w14:textId="77777777" w:rsidR="00761B9A" w:rsidRDefault="00761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3BD5E" w14:textId="77777777" w:rsidR="00550E03" w:rsidRDefault="003301DD">
    <w:pPr>
      <w:pStyle w:val="HeaderFooter"/>
    </w:pPr>
    <w:r>
      <w:rPr>
        <w:noProof/>
      </w:rPr>
      <w:drawing>
        <wp:anchor distT="152400" distB="152400" distL="152400" distR="152400" simplePos="0" relativeHeight="251658752" behindDoc="1" locked="0" layoutInCell="1" allowOverlap="1" wp14:anchorId="63D90DCB" wp14:editId="563378E7">
          <wp:simplePos x="0" y="0"/>
          <wp:positionH relativeFrom="page">
            <wp:posOffset>4925483</wp:posOffset>
          </wp:positionH>
          <wp:positionV relativeFrom="page">
            <wp:posOffset>343958</wp:posOffset>
          </wp:positionV>
          <wp:extent cx="2099946" cy="707391"/>
          <wp:effectExtent l="0" t="0" r="0" b="0"/>
          <wp:wrapNone/>
          <wp:docPr id="1073741829" name="officeArt object" descr="Image"/>
          <wp:cNvGraphicFramePr/>
          <a:graphic xmlns:a="http://schemas.openxmlformats.org/drawingml/2006/main">
            <a:graphicData uri="http://schemas.openxmlformats.org/drawingml/2006/picture">
              <pic:pic xmlns:pic="http://schemas.openxmlformats.org/drawingml/2006/picture">
                <pic:nvPicPr>
                  <pic:cNvPr id="1073741829" name="Image" descr="Image"/>
                  <pic:cNvPicPr>
                    <a:picLocks noChangeAspect="1"/>
                  </pic:cNvPicPr>
                </pic:nvPicPr>
                <pic:blipFill>
                  <a:blip r:embed="rId1"/>
                  <a:stretch>
                    <a:fillRect/>
                  </a:stretch>
                </pic:blipFill>
                <pic:spPr>
                  <a:xfrm>
                    <a:off x="0" y="0"/>
                    <a:ext cx="2099946" cy="707391"/>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C0DB3"/>
    <w:multiLevelType w:val="hybridMultilevel"/>
    <w:tmpl w:val="5CACAAB8"/>
    <w:styleLink w:val="ImportedStyle1"/>
    <w:lvl w:ilvl="0" w:tplc="D5CCAFBC">
      <w:start w:val="1"/>
      <w:numFmt w:val="bullet"/>
      <w:lvlText w:val="-"/>
      <w:lvlJc w:val="left"/>
      <w:pPr>
        <w:ind w:left="1056" w:hanging="1056"/>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5B16BA54">
      <w:start w:val="1"/>
      <w:numFmt w:val="bullet"/>
      <w:lvlText w:val="•"/>
      <w:lvlJc w:val="left"/>
      <w:pPr>
        <w:ind w:left="1056" w:hanging="172"/>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B5506608">
      <w:start w:val="1"/>
      <w:numFmt w:val="bullet"/>
      <w:lvlText w:val="•"/>
      <w:lvlJc w:val="left"/>
      <w:pPr>
        <w:tabs>
          <w:tab w:val="left" w:pos="1056"/>
        </w:tabs>
        <w:ind w:left="1999" w:hanging="232"/>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981848EE">
      <w:start w:val="1"/>
      <w:numFmt w:val="bullet"/>
      <w:lvlText w:val="•"/>
      <w:lvlJc w:val="left"/>
      <w:pPr>
        <w:tabs>
          <w:tab w:val="left" w:pos="1056"/>
        </w:tabs>
        <w:ind w:left="2880" w:hanging="229"/>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58005A7A">
      <w:start w:val="1"/>
      <w:numFmt w:val="bullet"/>
      <w:lvlText w:val="•"/>
      <w:lvlJc w:val="left"/>
      <w:pPr>
        <w:tabs>
          <w:tab w:val="left" w:pos="1056"/>
        </w:tabs>
        <w:ind w:left="3766" w:hanging="232"/>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78DAD5BC">
      <w:start w:val="1"/>
      <w:numFmt w:val="bullet"/>
      <w:lvlText w:val="•"/>
      <w:lvlJc w:val="left"/>
      <w:pPr>
        <w:tabs>
          <w:tab w:val="left" w:pos="1056"/>
        </w:tabs>
        <w:ind w:left="4650" w:hanging="232"/>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4FD89C18">
      <w:start w:val="1"/>
      <w:numFmt w:val="bullet"/>
      <w:lvlText w:val="•"/>
      <w:lvlJc w:val="left"/>
      <w:pPr>
        <w:tabs>
          <w:tab w:val="left" w:pos="1056"/>
        </w:tabs>
        <w:ind w:left="5533" w:hanging="232"/>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DA3E0C9C">
      <w:start w:val="1"/>
      <w:numFmt w:val="bullet"/>
      <w:lvlText w:val="•"/>
      <w:lvlJc w:val="left"/>
      <w:pPr>
        <w:tabs>
          <w:tab w:val="left" w:pos="1056"/>
        </w:tabs>
        <w:ind w:left="6417" w:hanging="232"/>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FECC7422">
      <w:start w:val="1"/>
      <w:numFmt w:val="bullet"/>
      <w:lvlText w:val="•"/>
      <w:lvlJc w:val="left"/>
      <w:pPr>
        <w:tabs>
          <w:tab w:val="left" w:pos="1056"/>
        </w:tabs>
        <w:ind w:left="7200" w:hanging="132"/>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0D1759F"/>
    <w:multiLevelType w:val="hybridMultilevel"/>
    <w:tmpl w:val="348E89CC"/>
    <w:styleLink w:val="ImportedStyle2"/>
    <w:lvl w:ilvl="0" w:tplc="C0480972">
      <w:start w:val="1"/>
      <w:numFmt w:val="bullet"/>
      <w:lvlText w:val="·"/>
      <w:lvlJc w:val="left"/>
      <w:pPr>
        <w:ind w:left="773" w:hanging="70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7A499B8">
      <w:start w:val="1"/>
      <w:numFmt w:val="bullet"/>
      <w:lvlText w:val="·"/>
      <w:lvlJc w:val="left"/>
      <w:pPr>
        <w:tabs>
          <w:tab w:val="left" w:pos="839"/>
        </w:tabs>
        <w:ind w:left="1146" w:hanging="29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ADBE038A">
      <w:start w:val="1"/>
      <w:numFmt w:val="bullet"/>
      <w:lvlText w:val="·"/>
      <w:lvlJc w:val="left"/>
      <w:pPr>
        <w:tabs>
          <w:tab w:val="left" w:pos="839"/>
        </w:tabs>
        <w:ind w:left="2067" w:hanging="29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1992497A">
      <w:start w:val="1"/>
      <w:numFmt w:val="bullet"/>
      <w:lvlText w:val="·"/>
      <w:lvlJc w:val="left"/>
      <w:pPr>
        <w:tabs>
          <w:tab w:val="left" w:pos="839"/>
        </w:tabs>
        <w:ind w:left="2880" w:hanging="18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CB44B12">
      <w:start w:val="1"/>
      <w:numFmt w:val="bullet"/>
      <w:lvlText w:val="·"/>
      <w:lvlJc w:val="left"/>
      <w:pPr>
        <w:tabs>
          <w:tab w:val="left" w:pos="839"/>
        </w:tabs>
        <w:ind w:left="3909" w:hanging="29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4516E2DC">
      <w:start w:val="1"/>
      <w:numFmt w:val="bullet"/>
      <w:lvlText w:val="·"/>
      <w:lvlJc w:val="left"/>
      <w:pPr>
        <w:tabs>
          <w:tab w:val="left" w:pos="839"/>
        </w:tabs>
        <w:ind w:left="4829" w:hanging="29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B986EFC6">
      <w:start w:val="1"/>
      <w:numFmt w:val="bullet"/>
      <w:lvlText w:val="·"/>
      <w:lvlJc w:val="left"/>
      <w:pPr>
        <w:tabs>
          <w:tab w:val="left" w:pos="839"/>
        </w:tabs>
        <w:ind w:left="5750" w:hanging="29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360BFE6">
      <w:start w:val="1"/>
      <w:numFmt w:val="bullet"/>
      <w:lvlText w:val="·"/>
      <w:lvlJc w:val="left"/>
      <w:pPr>
        <w:tabs>
          <w:tab w:val="left" w:pos="839"/>
          <w:tab w:val="num" w:pos="6546"/>
        </w:tabs>
        <w:ind w:left="6480" w:hanging="10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64FA5830">
      <w:start w:val="1"/>
      <w:numFmt w:val="bullet"/>
      <w:lvlText w:val="·"/>
      <w:lvlJc w:val="left"/>
      <w:pPr>
        <w:tabs>
          <w:tab w:val="left" w:pos="839"/>
        </w:tabs>
        <w:ind w:left="7592" w:hanging="29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A822EA2"/>
    <w:multiLevelType w:val="hybridMultilevel"/>
    <w:tmpl w:val="947A8BD2"/>
    <w:numStyleLink w:val="ImportedStyle3"/>
  </w:abstractNum>
  <w:abstractNum w:abstractNumId="3" w15:restartNumberingAfterBreak="0">
    <w:nsid w:val="4CE95BEA"/>
    <w:multiLevelType w:val="hybridMultilevel"/>
    <w:tmpl w:val="348E89CC"/>
    <w:numStyleLink w:val="ImportedStyle2"/>
  </w:abstractNum>
  <w:abstractNum w:abstractNumId="4" w15:restartNumberingAfterBreak="0">
    <w:nsid w:val="6B920963"/>
    <w:multiLevelType w:val="hybridMultilevel"/>
    <w:tmpl w:val="947A8BD2"/>
    <w:styleLink w:val="ImportedStyle3"/>
    <w:lvl w:ilvl="0" w:tplc="65B2B9C0">
      <w:start w:val="1"/>
      <w:numFmt w:val="bullet"/>
      <w:lvlText w:val="-"/>
      <w:lvlJc w:val="left"/>
      <w:pPr>
        <w:ind w:left="1199" w:hanging="839"/>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A4B2B768">
      <w:start w:val="1"/>
      <w:numFmt w:val="bullet"/>
      <w:lvlText w:val="o"/>
      <w:lvlJc w:val="left"/>
      <w:pPr>
        <w:tabs>
          <w:tab w:val="num" w:pos="1800"/>
        </w:tabs>
        <w:ind w:left="1440" w:hanging="119"/>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881AB44A">
      <w:start w:val="1"/>
      <w:numFmt w:val="bullet"/>
      <w:lvlText w:val="▪"/>
      <w:lvlJc w:val="left"/>
      <w:pPr>
        <w:tabs>
          <w:tab w:val="left" w:pos="1559"/>
          <w:tab w:val="num" w:pos="2520"/>
        </w:tabs>
        <w:ind w:left="2160" w:firstLine="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1CF431F8">
      <w:start w:val="1"/>
      <w:numFmt w:val="bullet"/>
      <w:lvlText w:val="•"/>
      <w:lvlJc w:val="left"/>
      <w:pPr>
        <w:tabs>
          <w:tab w:val="left" w:pos="1559"/>
          <w:tab w:val="num" w:pos="3240"/>
        </w:tabs>
        <w:ind w:left="2880" w:firstLine="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881E66D4">
      <w:start w:val="1"/>
      <w:numFmt w:val="bullet"/>
      <w:lvlText w:val="o"/>
      <w:lvlJc w:val="left"/>
      <w:pPr>
        <w:tabs>
          <w:tab w:val="left" w:pos="1559"/>
          <w:tab w:val="num" w:pos="3960"/>
        </w:tabs>
        <w:ind w:left="3600" w:firstLine="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47E81F1C">
      <w:start w:val="1"/>
      <w:numFmt w:val="bullet"/>
      <w:lvlText w:val="▪"/>
      <w:lvlJc w:val="left"/>
      <w:pPr>
        <w:tabs>
          <w:tab w:val="left" w:pos="1559"/>
          <w:tab w:val="num" w:pos="4680"/>
        </w:tabs>
        <w:ind w:left="4320" w:firstLine="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D32A77B2">
      <w:start w:val="1"/>
      <w:numFmt w:val="bullet"/>
      <w:lvlText w:val="•"/>
      <w:lvlJc w:val="left"/>
      <w:pPr>
        <w:tabs>
          <w:tab w:val="left" w:pos="1559"/>
          <w:tab w:val="num" w:pos="5400"/>
        </w:tabs>
        <w:ind w:left="5040" w:firstLine="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88DCD6F0">
      <w:start w:val="1"/>
      <w:numFmt w:val="bullet"/>
      <w:lvlText w:val="o"/>
      <w:lvlJc w:val="left"/>
      <w:pPr>
        <w:tabs>
          <w:tab w:val="left" w:pos="1559"/>
          <w:tab w:val="num" w:pos="6120"/>
        </w:tabs>
        <w:ind w:left="5760" w:firstLine="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5B32F712">
      <w:start w:val="1"/>
      <w:numFmt w:val="bullet"/>
      <w:lvlText w:val="▪"/>
      <w:lvlJc w:val="left"/>
      <w:pPr>
        <w:tabs>
          <w:tab w:val="left" w:pos="1559"/>
          <w:tab w:val="num" w:pos="6840"/>
        </w:tabs>
        <w:ind w:left="6480" w:firstLine="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8A22C1E"/>
    <w:multiLevelType w:val="hybridMultilevel"/>
    <w:tmpl w:val="5CACAAB8"/>
    <w:numStyleLink w:val="ImportedStyle1"/>
  </w:abstractNum>
  <w:num w:numId="1" w16cid:durableId="1450902474">
    <w:abstractNumId w:val="0"/>
  </w:num>
  <w:num w:numId="2" w16cid:durableId="1143810164">
    <w:abstractNumId w:val="5"/>
  </w:num>
  <w:num w:numId="3" w16cid:durableId="860972396">
    <w:abstractNumId w:val="1"/>
  </w:num>
  <w:num w:numId="4" w16cid:durableId="831726169">
    <w:abstractNumId w:val="3"/>
  </w:num>
  <w:num w:numId="5" w16cid:durableId="589314194">
    <w:abstractNumId w:val="4"/>
  </w:num>
  <w:num w:numId="6" w16cid:durableId="11291280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03"/>
    <w:rsid w:val="001C7FE3"/>
    <w:rsid w:val="002E590B"/>
    <w:rsid w:val="003301DD"/>
    <w:rsid w:val="004D2ACB"/>
    <w:rsid w:val="00550E03"/>
    <w:rsid w:val="0064627D"/>
    <w:rsid w:val="00761B9A"/>
    <w:rsid w:val="00AC0D71"/>
    <w:rsid w:val="00F87C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B5622"/>
  <w15:docId w15:val="{0C71CF6C-535D-1648-9DCE-E6A55C851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styleId="Heading1">
    <w:name w:val="heading 1"/>
    <w:uiPriority w:val="9"/>
    <w:qFormat/>
    <w:pPr>
      <w:widowControl w:val="0"/>
      <w:ind w:left="118"/>
      <w:outlineLvl w:val="0"/>
    </w:pPr>
    <w:rPr>
      <w:rFonts w:ascii="Verdana" w:hAnsi="Verdana" w:cs="Arial Unicode MS"/>
      <w:b/>
      <w:bCs/>
      <w:color w:val="000000"/>
      <w:sz w:val="21"/>
      <w:szCs w:val="21"/>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BodyText">
    <w:name w:val="Body Text"/>
    <w:pPr>
      <w:widowControl w:val="0"/>
      <w:ind w:left="118"/>
    </w:pPr>
    <w:rPr>
      <w:rFonts w:ascii="Verdana" w:hAnsi="Verdana" w:cs="Arial Unicode MS"/>
      <w:color w:val="000000"/>
      <w:sz w:val="21"/>
      <w:szCs w:val="21"/>
      <w:u w:color="000000"/>
      <w:lang w:val="en-US"/>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outline w:val="0"/>
      <w:color w:val="0000FF"/>
      <w:u w:val="single" w:color="0000FF"/>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Header">
    <w:name w:val="header"/>
    <w:basedOn w:val="Normal"/>
    <w:link w:val="HeaderChar"/>
    <w:uiPriority w:val="99"/>
    <w:unhideWhenUsed/>
    <w:rsid w:val="00AC0D71"/>
    <w:pPr>
      <w:tabs>
        <w:tab w:val="center" w:pos="4513"/>
        <w:tab w:val="right" w:pos="9026"/>
      </w:tabs>
    </w:pPr>
  </w:style>
  <w:style w:type="character" w:customStyle="1" w:styleId="HeaderChar">
    <w:name w:val="Header Char"/>
    <w:basedOn w:val="DefaultParagraphFont"/>
    <w:link w:val="Header"/>
    <w:uiPriority w:val="99"/>
    <w:rsid w:val="00AC0D71"/>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styleId="Footer">
    <w:name w:val="footer"/>
    <w:basedOn w:val="Normal"/>
    <w:link w:val="FooterChar"/>
    <w:uiPriority w:val="99"/>
    <w:unhideWhenUsed/>
    <w:rsid w:val="00AC0D71"/>
    <w:pPr>
      <w:tabs>
        <w:tab w:val="center" w:pos="4513"/>
        <w:tab w:val="right" w:pos="9026"/>
      </w:tabs>
    </w:pPr>
  </w:style>
  <w:style w:type="character" w:customStyle="1" w:styleId="FooterChar">
    <w:name w:val="Footer Char"/>
    <w:basedOn w:val="DefaultParagraphFont"/>
    <w:link w:val="Footer"/>
    <w:uiPriority w:val="99"/>
    <w:rsid w:val="00AC0D71"/>
    <w:rPr>
      <w:rFonts w:ascii="Calibri" w:hAnsi="Calibri" w:cs="Arial Unicode MS"/>
      <w:color w:val="000000"/>
      <w:sz w:val="22"/>
      <w:szCs w:val="22"/>
      <w:u w:color="000000"/>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hackneylocaloffer.co.uk/kb5/hackney/localoffer/home.page" TargetMode="External"/><Relationship Id="rId3" Type="http://schemas.openxmlformats.org/officeDocument/2006/relationships/settings" Target="settings.xml"/><Relationship Id="rId7" Type="http://schemas.openxmlformats.org/officeDocument/2006/relationships/hyperlink" Target="http://www.gov.uk/government/publications/send-code-of-practice-0-to-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Cain</cp:lastModifiedBy>
  <cp:revision>5</cp:revision>
  <cp:lastPrinted>2022-06-17T06:34:00Z</cp:lastPrinted>
  <dcterms:created xsi:type="dcterms:W3CDTF">2022-02-14T15:16:00Z</dcterms:created>
  <dcterms:modified xsi:type="dcterms:W3CDTF">2022-06-17T06:54:00Z</dcterms:modified>
</cp:coreProperties>
</file>